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contextualSpacing w:val="0"/>
        <w:jc w:val="center"/>
        <w:rPr>
          <w:rFonts w:ascii="Times New Roman" w:cs="Times New Roman" w:eastAsia="Times New Roman" w:hAnsi="Times New Roman"/>
          <w:b w:val="1"/>
          <w:i w:val="0"/>
          <w:smallCaps w:val="1"/>
          <w:strike w:val="0"/>
          <w:color w:val="00000a"/>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1"/>
          <w:strike w:val="0"/>
          <w:color w:val="00000a"/>
          <w:sz w:val="24"/>
          <w:szCs w:val="24"/>
          <w:u w:val="none"/>
          <w:shd w:fill="auto" w:val="clear"/>
          <w:vertAlign w:val="baseline"/>
          <w:rtl w:val="0"/>
        </w:rPr>
        <w:t xml:space="preserve">Allegato 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16"/>
          <w:szCs w:val="16"/>
          <w:u w:val="none"/>
          <w:shd w:fill="auto" w:val="clear"/>
          <w:vertAlign w:val="baseline"/>
          <w:rtl w:val="0"/>
        </w:rPr>
        <w:t xml:space="preserve">MODELLO DI FORMULARIO PER IL DOCUMENTO DI GARA UNICO EUROPEO (DGUE)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le procedure di appalto per le quali è stato pubblicato un avviso di indizione di gara nella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0"/>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Riferimento della pubblicazione del pertinente avviso o bando (</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1"/>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nella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GU UE S numero [], data [], pag. [], </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Numero dell'avviso nella GU S: [ ][ ][ ][ ]/S [ ][ ][ ]–[ ][ ][ ][ ][ ][ ][ ]</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INFORMAZIONI SULLA PROCEDURA DI APPALTO</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88.0" w:type="dxa"/>
        <w:jc w:val="left"/>
        <w:tblInd w:w="-20.0" w:type="dxa"/>
        <w:tblLayout w:type="fixed"/>
        <w:tblLook w:val="0000"/>
      </w:tblPr>
      <w:tblGrid>
        <w:gridCol w:w="4644"/>
        <w:gridCol w:w="4644"/>
        <w:tblGridChange w:id="0">
          <w:tblGrid>
            <w:gridCol w:w="4644"/>
            <w:gridCol w:w="4644"/>
          </w:tblGrid>
        </w:tblGridChange>
      </w:tblGrid>
      <w:tr>
        <w:trPr>
          <w:trHeight w:val="34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Identità del committente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S.C.R.P. SpA</w:t>
            </w:r>
            <w:r w:rsidDel="00000000" w:rsidR="00000000" w:rsidRPr="00000000">
              <w:rPr>
                <w:rtl w:val="0"/>
              </w:rPr>
            </w:r>
          </w:p>
        </w:tc>
      </w:tr>
      <w:tr>
        <w:trPr>
          <w:trHeight w:val="34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Nome: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Società Cremasca Reti e Patrimonio Spa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91001260198</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Procedura aperta per “Accorpamento della Scuola Primaria e della Scuola Secondaria di primo grado. Opere di ampliamento, ristrutturazione e messa a norma degli impianti del Comune di Dovera”</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Titolo o breve descrizione dell'appalto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L’appalto ha per oggetto i lavori, le somministrazioni e le forniture necessarie per la realizzazione dell’intervento di ampliamento, ristrutturazione e messa a norma degli impianti per la scuola primaria e Secondaria del Comune di Dovera  mediante l’esecuzione delle opere consistenti principalmente in</w:t>
            </w:r>
            <w:r w:rsidDel="00000000" w:rsidR="00000000" w:rsidRPr="00000000">
              <w:rPr>
                <w:rFonts w:ascii="Arial" w:cs="Arial" w:eastAsia="Arial" w:hAnsi="Arial"/>
                <w:sz w:val="14"/>
                <w:szCs w:val="14"/>
                <w:rtl w:val="0"/>
              </w:rPr>
              <w:t xml:space="preserve"> accorpamento della scuola primaria e della scuola secondaria di primo grado - opere di ampliamento, ristrutturazione e messa a norma degli impianti del comune di Dovera.</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Numero di riferimento attribuito al fascicolo dall'amministrazione aggiudicatrice o ente aggiudicatore (ove esistente)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CIG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CUP (ove previsto)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progetto (ove l’appalto sia finanziato o cofinanziato con fondi europei)</w:t>
              <w:tab/>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7305272529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F61E17000030006</w:t>
            </w:r>
            <w:r w:rsidDel="00000000" w:rsidR="00000000" w:rsidRPr="00000000">
              <w:rPr>
                <w:rtl w:val="0"/>
              </w:rPr>
            </w:r>
          </w:p>
        </w:tc>
      </w:tr>
    </w:tbl>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240" w:lineRule="auto"/>
        <w:ind w:left="0" w:right="0" w:firstLine="0"/>
        <w:contextualSpacing w:val="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Tutte le altre informazioni in tutte le sezioni del DGUE devono essere inserite dall'operatore economico</w:t>
      </w: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II: Informazioni sull'operatore economico</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1"/>
          <w:strike w:val="0"/>
          <w:color w:val="00000a"/>
          <w:sz w:val="14"/>
          <w:szCs w:val="14"/>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736"/>
        <w:gridCol w:w="3600"/>
        <w:tblGridChange w:id="0">
          <w:tblGrid>
            <w:gridCol w:w="5736"/>
            <w:gridCol w:w="3600"/>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82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Partita IVA, se applicabile: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11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Persone di contatto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Telefono: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PEC o e-mail: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(indirizzo Internet o sito web)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ove esistente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è una microimpresa, oppure un'impresa piccola o media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Solo se l'appalto è riservato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è un laboratorio protetto, un' "impresa sociale"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provvede all'esecuzione del contratto nel contesto di programmi di lavoro protetti (articolo 112 del Codice)?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qual è la percentuale corrispondente di lavoratori con disabilità o svantaggiati?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dell'elenco o del certificato e, se pertinente, il pertinente numero di iscrizione o della certificazione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il certificato di iscrizione o la certificazione è disponibile elettronicamente, indicare: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L'iscrizione o la certificazione comprende tutti i criteri di selezione richiesti?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negativa alla lettera 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Inserire inoltre tutte le informazioni mancanti nella parte IV, sezione A, B, C, o D secondo il caso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  L'operatore economico potrà fornire un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certificato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 [ ] Non applicabile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76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ovvero,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l’attestazione di qualificazione è disponibile elettronicamente, indicare: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se pertinente, le categorie di qualificazione alla quale si riferisce l’attestazione: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8" w:right="0" w:hanging="36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 ] Sì [ ] No</w:t>
            </w:r>
          </w:p>
        </w:tc>
      </w:tr>
      <w:tr>
        <w:trPr>
          <w:trHeight w:val="580" w:hRule="atLeast"/>
        </w:trPr>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color="00000a" w:space="1" w:sz="4" w:val="single"/>
                <w:left w:color="00000a" w:space="4" w:sz="4" w:val="single"/>
                <w:bottom w:color="00000a" w:space="16" w:sz="4" w:val="single"/>
                <w:right w:color="00000a" w:space="4" w:sz="4" w:val="single"/>
                <w:between w:space="0" w:sz="0" w:val="nil"/>
              </w:pBdr>
              <w:shd w:fill="bfbfb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partecipa alla procedura di appalto insieme ad altri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bfbfb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accertarsi che gli altri operatori interessati forniscano un DGUE distinto.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 b), c), 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ed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(capofila, responsabile di compiti specifici,ecc.):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Indicare gli altri operatori economici che compartecipano alla procedura di appalto: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Se pertinente, indicare il nome del raggruppamento partecipante: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una società di professionisti di cui all’articolo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INFORMAZIONI SUI RAPPRESENTANTI DELL'OPERATORE ECONOMICO</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0" w:sz="4" w:val="single"/>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Se pertinente, indicare nome e indirizzo delle persone abilitate ad agire come rappresentanti,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ivi compresi procuratori e institori,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C: INFORMAZIONI SULL'AFFIDAMENTO SULLE CAPACITÀ DI ALTRI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SOGGETTI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degli operatori economici di cui si intende avvalersi: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contextualSpacing w:val="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000000"/>
          <w:sz w:val="12"/>
          <w:szCs w:val="12"/>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contextualSpacing w:val="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D: INFORMAZIONI CONCERNENTI 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pPr>
        <w:keepNext w:val="1"/>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99" w:firstLine="0"/>
        <w:contextualSpacing w:val="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(Tale sezione è da compilare solo se le informazioni sono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esplicitamente richieste dall'amministrazione aggiudicatrice o dall'ente aggiudicatore).</w:t>
      </w:r>
    </w:p>
    <w:tbl>
      <w:tblPr>
        <w:tblStyle w:val="Table5"/>
        <w:tblW w:w="9327.0" w:type="dxa"/>
        <w:jc w:val="left"/>
        <w:tblInd w:w="-20.0" w:type="dxa"/>
        <w:tblLayout w:type="fixed"/>
        <w:tblLook w:val="0000"/>
      </w:tblPr>
      <w:tblGrid>
        <w:gridCol w:w="4644"/>
        <w:gridCol w:w="4683"/>
        <w:tblGridChange w:id="0">
          <w:tblGrid>
            <w:gridCol w:w="4644"/>
            <w:gridCol w:w="4683"/>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184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intende subappaltare parte del contratto a terzi?</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Elencare le prestazioni o lavorazioni che si intende subappaltare e la relativa quota (espressa in percentuale) sull’importo contrattuale: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contextualSpacing w:val="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Parte III: Motivi di </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esclusione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del Codice)</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 MOTIVI LEGATI A CONDANNE PENALI</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L'articolo 57, paragrafo 1, della direttiva 2014/24/UE stabilisce i seguenti motivi di esclusione (Articolo 80, comma 1, del Codice):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Partecipazione a un’organizzazione criminale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Corruzione(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Frode(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3"/>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Reati terroristici o reati connessi alle attività terroristiche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bookmarkStart w:colFirst="0" w:colLast="0" w:name="_30j0zll" w:id="1"/>
      <w:bookmarkEnd w:id="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Riciclaggio di proventi di attività criminose o finanziamento al terrorismo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Lavoro minorile e altre forme di tratta di esseri umani(</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6"/>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426" w:right="0" w:hanging="426"/>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Ogni altro delitto da cui derivi, quale pena accessoria, l'incapacità di contrattare con la pubblica amministrazione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1, del Codice); </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trHeight w:val="66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Risposta:</w:t>
            </w:r>
            <w:r w:rsidDel="00000000" w:rsidR="00000000" w:rsidRPr="00000000">
              <w:rPr>
                <w:rtl w:val="0"/>
              </w:rPr>
            </w:r>
          </w:p>
        </w:tc>
      </w:tr>
      <w:tr>
        <w:trPr>
          <w:trHeight w:val="16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 soggetti di cui all’art. 80, comma 3, del Codice sono stati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condannati con sentenza definitiva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19" w:before="11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8"/>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both"/>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e i motivi di condanna,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dati identificativi delle persone condannate [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stabilita direttamente nella sentenza di condanna la durata della pena accessoria, indicare: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Data:[  ], durata [   ], lettera comma 1, articolo 80 [  ], motivi:[       ]</w:t>
            </w:r>
            <w:r w:rsidDel="00000000" w:rsidR="00000000" w:rsidRPr="00000000">
              <w:rPr>
                <w:rFonts w:ascii="Arial" w:cs="Arial" w:eastAsia="Arial" w:hAnsi="Arial"/>
                <w:b w:val="0"/>
                <w:i w:val="1"/>
                <w:smallCaps w:val="0"/>
                <w:strike w:val="0"/>
                <w:color w:val="000000"/>
                <w:sz w:val="14"/>
                <w:szCs w:val="1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durata del periodo d'esclusione [..…], lettera comma 1, articolo 80 [  ], </w:t>
            </w:r>
          </w:p>
        </w:tc>
      </w:tr>
      <w:tr>
        <w:trPr>
          <w:trHeight w:val="6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9"/>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(autodisciplina o “Self-Cleaning”, cfr.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Se la sentenza definitiva di condanna prevede una pena detentiva non superiore a 18 mesi?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tab/>
              <w:t xml:space="preserve">in caso di risposta affermativa per le ipotesi 1) e/o 2), i soggetti di cui all’art. 80, comma 3, del Codice: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hanno risarcito interamente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sono impegnati formalmente a risarcire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B: MOTIVI LEGATI AL PAGAMENTO DI IMPOSTE O CONTRIBUTI PREVIDENZIALI</w:t>
      </w:r>
      <w:r w:rsidDel="00000000" w:rsidR="00000000" w:rsidRPr="00000000">
        <w:rPr>
          <w:rtl w:val="0"/>
        </w:rPr>
      </w:r>
    </w:p>
    <w:tbl>
      <w:tblPr>
        <w:tblStyle w:val="Table7"/>
        <w:tblW w:w="9289.999999999998" w:type="dxa"/>
        <w:jc w:val="left"/>
        <w:tblInd w:w="-20.0" w:type="dxa"/>
        <w:tblLayout w:type="fixed"/>
        <w:tblLook w:val="0000"/>
      </w:tblPr>
      <w:tblGrid>
        <w:gridCol w:w="4644"/>
        <w:gridCol w:w="2322"/>
        <w:gridCol w:w="2324"/>
        <w:tblGridChange w:id="0">
          <w:tblGrid>
            <w:gridCol w:w="4644"/>
            <w:gridCol w:w="2322"/>
            <w:gridCol w:w="2324"/>
          </w:tblGrid>
        </w:tblGridChange>
      </w:tblGrid>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Pagamento di imposte, tasse o contributi previdenziali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102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soddisfatto tutti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gli obblighi relativi al pagamento di imposte, tasse o contributi previdenziali,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trHeight w:val="460"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br w:type="textWrapping"/>
              <w:t xml:space="preserve">In caso negativo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indicare: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Paese o Stato membro interessato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Di quale importo si tratta</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Come è stata stabilita tale inottemperanza:</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   Mediante una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decisione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giudiziaria o amministrativa:</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Tale decisione è definitiva e vincolante?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Indicare la data della sentenza di condanna o della decisione.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di una sentenza di condanna,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se stabilita </w:t>
            </w: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direttamente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nella sentenza di condanna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la durata del periodo d'esclusione: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2)    In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altro modo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Contributi previdenziali</w:t>
            </w:r>
            <w:r w:rsidDel="00000000" w:rsidR="00000000" w:rsidRPr="00000000">
              <w:rPr>
                <w:rtl w:val="0"/>
              </w:rPr>
            </w:r>
          </w:p>
        </w:tc>
      </w:tr>
      <w:tr>
        <w:trPr>
          <w:trHeight w:val="1960"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t xml:space="preserve">c1) [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br w:type="textWrapping"/>
              <w:t xml:space="preserve">c1) [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(indirizzo web, autorità o organismo di emanazione, riferimento preciso della documentazione)(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C: MOTIVI LEGATI A INSOLVENZA, CONFLITTO DI INTERESSI O ILLECITI PROFESSIONALI (</w:t>
      </w:r>
      <w:r w:rsidDel="00000000" w:rsidR="00000000" w:rsidRPr="00000000">
        <w:rPr>
          <w:rFonts w:ascii="Arial" w:cs="Arial" w:eastAsia="Arial" w:hAnsi="Arial"/>
          <w:b w:val="0"/>
          <w:i w:val="0"/>
          <w:smallCaps w:val="1"/>
          <w:strike w:val="0"/>
          <w:color w:val="00000a"/>
          <w:sz w:val="15"/>
          <w:szCs w:val="15"/>
          <w:u w:val="none"/>
          <w:shd w:fill="auto" w:val="clear"/>
          <w:vertAlign w:val="superscript"/>
        </w:rPr>
        <w:footnoteReference w:customMarkFollows="0" w:id="21"/>
      </w: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400"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violato,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per quanto di sua conoscenza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obblighi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applicabili in materia di salute e sicurezza sul lavoro,</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di diritto ambientale, sociale e del lavoro,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superscript"/>
              </w:rPr>
              <w:footnoteReference w:customMarkFollows="0" w:id="22"/>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 “Self-Cleaning, cfr. articolo 80, comma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r>
        <w:trPr>
          <w:trHeight w:val="400"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oppure è sottoposto a un procedimento per l’accertamento di una delle seguenti situazioni</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di cui all’articolo 80, comma 5,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fallimento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contextualSpacing w:val="0"/>
              <w:jc w:val="both"/>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contextualSpacing w:val="0"/>
              <w:jc w:val="both"/>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liquidazione coatta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concordato preventivo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 è ammesso a concordato con continuità aziendale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affermativa alla lettera d):</w:t>
            </w: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4"/>
              </w:tabs>
              <w:spacing w:after="0" w:before="0" w:line="240" w:lineRule="auto"/>
              <w:ind w:left="304" w:right="0" w:hanging="142"/>
              <w:contextualSpacing w:val="0"/>
              <w:jc w:val="both"/>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autorizzato dal giudice delegato ai sensi dell’ articolo 110, comma 3,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contextualSpacing w:val="0"/>
              <w:jc w:val="both"/>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gli estremi dei provvedimenti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trHeight w:val="30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si è reso colpevole di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gravi illeciti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superscript"/>
              </w:rPr>
              <w:footnoteReference w:customMarkFollows="0" w:id="23"/>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br w:type="textWrapping"/>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tc>
      </w:tr>
      <w:tr>
        <w:trPr>
          <w:trHeight w:val="30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tc>
      </w:tr>
      <w:tr>
        <w:trPr>
          <w:trHeight w:val="130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è a conoscenza di qualsiasi conflitto di interessi(</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24"/>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legato alla sua partecipazione alla procedura di appalto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tc>
      </w:tr>
      <w:tr>
        <w:trPr>
          <w:trHeight w:val="154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un'impresa a lui collegata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fornito consulenza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all'amministrazione aggiudicatrice o all'ente aggiudicatore o ha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altrimenti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partecipato alla preparazione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della procedura d'aggiudicazione (articolo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r>
        <w:trPr>
          <w:trHeight w:val="1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può confermare di:</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304" w:right="0" w:hanging="284"/>
              <w:contextualSpacing w:val="0"/>
              <w:jc w:val="both"/>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essersi reso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gravemente colpevole di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false dichiarazioni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nel fornire le informazioni richieste per verificare l'assenza di motivi di esclusione o il rispetto dei criteri di selezione,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t xml:space="preserve">b)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avere occultato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Motivi di esclusione previsti esclusivamente dalla legislazione nazionale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2 e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 g), h), i), l), m)</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Sussistono  a carico dell’operatore economico cause di decadenza, di sospensione o di divieto previste dall'</w:t>
            </w:r>
            <w:hyperlink r:id="rId7">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67 del decreto legislativo 6 settembre 2011, n. 159</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 tentativo di infiltrazione mafiosa di cui all'</w:t>
            </w:r>
            <w:hyperlink r:id="rId8">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84, comma 4, del medesimo decreto</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fermo restando quanto previsto dagli </w:t>
            </w:r>
            <w:hyperlink r:id="rId9">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88, comma 4-bis</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0">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92, commi 2 e 3, del decreto legislativo 6 settembre 2011, n. 159</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25"/>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soggetto alla sanzione interdittiva di cui all'</w:t>
            </w:r>
            <w:hyperlink r:id="rId1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9, comma 2, lettera c) del decreto legislativo 8 giugno 2001, n. 231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ad altra sanzione che comporta il divieto di contrarre con la pubblica amministrazione, compresi i provvedimenti interdittivi di cui all'</w:t>
            </w:r>
            <w:hyperlink r:id="rId1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14 del decreto legislativo 9 aprile 2008, n. 81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la data dell’accertamento definitivo e l’autorità o organismo di emanazione: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violazione è stata rimossa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regola con le norme che disciplinano il diritto al lavoro dei disabili di cui all</w:t>
            </w:r>
            <w:hyperlink r:id="rId13">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legge 12 marzo 1999, n. 68</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vittima dei reati previsti e puniti dagli </w:t>
            </w:r>
            <w:hyperlink r:id="rId14">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317</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5">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629 del codice penale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aggravati ai sensi dell'articolo 7 del decreto-legge 13 maggio 1991, n. 152, convertito, con modificazioni, dalla legge 12 luglio 1991, n. 203?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ha denunciato i fatti all’autorità giudiziaria?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ricorrono i casi previsti all’articolo 4, primo comma, della Legge 24 novembre 1981, n. 689 (articolo 80, comma 5, lettera l)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 trova rispetto ad un altro partecipante alla medesima procedura di affidamento, in una situazione di controllo di cui all'</w:t>
            </w:r>
            <w:hyperlink r:id="rId16">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2359 del codice civile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in una qualsiasi relazione, anche di fatto, se la situazione di controllo o la relazione comporti che le offerte sono imputabili ad un unico centro decisionale (articolo 80, comma 5, lettera m)?</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Nel caso in cui l’operatore non è tenuto alla disciplina legge 68/1999 indicare le motivazioni: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(numero dipendenti e/o altro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contextualSpacing w:val="0"/>
              <w:jc w:val="left"/>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Arial" w:cs="Arial" w:eastAsia="Arial" w:hAnsi="Arial"/>
          <w:b w:val="0"/>
          <w:i w:val="0"/>
          <w:smallCaps w:val="0"/>
          <w:strike w:val="0"/>
          <w:color w:val="00000a"/>
          <w:sz w:val="17"/>
          <w:szCs w:val="17"/>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Parte IV: Criteri di selezione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7"/>
          <w:szCs w:val="17"/>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merito ai criteri di selezione (sezione </w:t>
      </w:r>
      <w:r w:rsidDel="00000000" w:rsidR="00000000" w:rsidRPr="00000000">
        <w:rPr>
          <w:rFonts w:ascii="Noto Sans Symbols" w:cs="Noto Sans Symbols" w:eastAsia="Noto Sans Symbols" w:hAnsi="Noto Sans Symbols"/>
          <w:b w:val="0"/>
          <w:i w:val="0"/>
          <w:smallCaps w:val="0"/>
          <w:strike w:val="0"/>
          <w:color w:val="00000a"/>
          <w:sz w:val="14"/>
          <w:szCs w:val="14"/>
          <w:u w:val="none"/>
          <w:shd w:fill="auto" w:val="clear"/>
          <w:vertAlign w:val="baseline"/>
          <w:rtl w:val="0"/>
        </w:rPr>
        <w:t xml:space="preserve">α</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o sezioni da A a D della presente parte) l'operatore economico dichiara che: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1"/>
          <w:strike w:val="0"/>
          <w:color w:val="00000a"/>
          <w:sz w:val="28"/>
          <w:szCs w:val="28"/>
          <w:u w:val="none"/>
          <w:shd w:fill="auto" w:val="clear"/>
          <w:vertAlign w:val="baseline"/>
          <w:rtl w:val="0"/>
        </w:rPr>
        <w:t xml:space="preserve">Α</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INDICAZIONE GLOBALE</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PER TUTTI I CRITERI DI SELEZIONE</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i w:val="0"/>
          <w:smallCaps w:val="0"/>
          <w:strike w:val="0"/>
          <w:color w:val="00000a"/>
          <w:sz w:val="15"/>
          <w:szCs w:val="15"/>
          <w:u w:val="none"/>
          <w:shd w:fill="auto" w:val="clear"/>
          <w:vertAlign w:val="baseline"/>
          <w:rtl w:val="0"/>
        </w:rPr>
        <w:t xml:space="preserve">α</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both"/>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 IDONEITÀ (A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contextualSpacing w:val="1"/>
              <w:jc w:val="left"/>
              <w:rPr>
                <w:smallCaps w:val="0"/>
                <w:strike w:val="0"/>
                <w:color w:val="00000a"/>
                <w:u w:val="none"/>
                <w:shd w:fill="auto" w:val="clear"/>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Iscrizione in un registro professionale o commerciale tenuto nello Stato membro di stabilimento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trHeight w:val="4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contextualSpacing w:val="1"/>
              <w:jc w:val="left"/>
              <w:rPr>
                <w:smallCaps w:val="0"/>
                <w:strike w:val="0"/>
                <w:color w:val="00000a"/>
                <w:u w:val="none"/>
                <w:shd w:fill="auto" w:val="clear"/>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gli appalti di servizi: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È richiesta una particolare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autorizzazione o appartenenza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 una particolare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organizzazione (elenchi, albi, ecc.) per</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poter prestare il servizio di cui trattasi nel paese di stabilimento dell'operatore economico?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1"/>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CAPACITÀ ECONOMICA E FINANZIARIA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142"/>
              <w:contextualSpacing w:val="0"/>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il numero di esercizi richiesto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7"/>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annuo ("specifico") dell'operatore economico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nel settore di attività oggetto dell'appalto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specificato nell'avviso o bando pertinente o nei documenti di gara per il numero di esercizi richiesto è il seguente: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nel settore e per il numero di esercizi specificato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284" w:right="0" w:hanging="284"/>
              <w:contextualSpacing w:val="1"/>
              <w:jc w:val="both"/>
              <w:rPr>
                <w:b w:val="0"/>
                <w:smallCaps w:val="0"/>
                <w:strike w:val="0"/>
                <w:color w:val="00000a"/>
                <w:u w:val="none"/>
                <w:shd w:fill="auto" w:val="clear"/>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indici finanziari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ai sensi dell’art. 83 comma 4,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l'operatore economico dichiara che i valori attuali degli indici richiesti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sono i seguenti: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(indicazione dell'indice richiesto, come rapporto tra x e y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valore)</w:t>
              <w:br w:type="textWrapping"/>
              <w:t xml:space="preserve">[……], [……]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1"/>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1"/>
              <w:jc w:val="left"/>
              <w:rPr>
                <w:b w:val="0"/>
                <w:smallCaps w:val="0"/>
                <w:strike w:val="0"/>
                <w:color w:val="00000a"/>
                <w:u w:val="none"/>
                <w:shd w:fill="auto" w:val="clear"/>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L'importo assicurato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dalla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copertura contro i rischi professional</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è il seguente (articolo 83, comma 4, lettera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valuta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1"/>
              <w:jc w:val="left"/>
              <w:rPr>
                <w:b w:val="0"/>
                <w:smallCaps w:val="0"/>
                <w:strike w:val="0"/>
                <w:color w:val="00000a"/>
                <w:u w:val="none"/>
                <w:shd w:fill="auto" w:val="clear"/>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altri requisiti economici o finanziari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contextualSpacing w:val="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C: CAPACITÀ TECNICHE 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PROFESSIONALI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contextualSpacing w:val="0"/>
        <w:jc w:val="left"/>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4"/>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1a) Unicamente per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appalti pubblici di lavori,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durante il periodo di riferimento(</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2"/>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eseguito i seguenti lavori del tipo specificato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Unicamente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 e di servizi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Durante il periodo di riferimento l'operatore economico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Indicare nell'elenco gli importi, le date e i destinatari, pubblici o privati(</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33"/>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tbl>
            <w:tblPr>
              <w:tblStyle w:val="Table13"/>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destinatari</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    Può disporre dei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tecnici o organismi tecnici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4"/>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citando in particolare quelli responsabili del controllo della qualità: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Utilizza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attrezzature tecniche e adotta le seguenti misure per garantire la qualità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 dispone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4)  Potrà applicare 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gestione e di tracciabilità della catena di approvvigionamento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consentirà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l'esecuzione 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verifiche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5"/>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delle sue capacità di</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produzione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strutture tecniche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se necessario,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di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egli dispone, nonché delle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adottate per garantire 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6)       Indicare 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titoli di studio e professionali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sono in possesso: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       lo stesso prestatore di servizi o imprenditore,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e/o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 funzione dei requisiti richiesti nell'avviso o bando pertinente o nei documenti di gara)</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a) [………..…]</w:t>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b)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7)       L'operatore economico potrà applicare durante l'esecuzione dell'appalto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8)       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organico medio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organico medio annuo: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numero di dirigenti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9)       Per l'esecuzione dell'appalto l'operatore economico disporrà dell'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attrezzatura, del materiale e dell'equipaggiamento tecnico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10)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intende eventualmente subappaltare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la seguente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quota (espressa in percentuale)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11)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applicabile, l'operatore economico dichiara inoltre che provvederà a fornire le richieste certificazioni di autenticità.</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12)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può fornire i richiesti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istituti o servizi ufficiali incaricati del controllo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si dispone: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br w:type="textWrapping"/>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13)  Per quanto riguarda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eventuali altri requisiti tecnici e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D: SISTEMI DI GARANZIA DELLA QUALITÀ E NORME DI GESTIONE AMBIENTALE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Articolo 87 del Codice)</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soddisfa determinate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garanzia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compresa l'accessibilità per le persone con disabilità?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al programma di garanzia della qualità si dispone: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rispetta determinati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si dispone: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 Riduzione del numero di candidati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qualificati</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rticolo 91 del Codice)</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dichiara:</w:t>
      </w:r>
      <w:r w:rsidDel="00000000" w:rsidR="00000000" w:rsidRPr="00000000">
        <w:rPr>
          <w:rtl w:val="0"/>
        </w:rPr>
      </w:r>
    </w:p>
    <w:tbl>
      <w:tblPr>
        <w:tblStyle w:val="Table16"/>
        <w:tblW w:w="9894.0" w:type="dxa"/>
        <w:jc w:val="left"/>
        <w:tblInd w:w="-20.0" w:type="dxa"/>
        <w:tblLayout w:type="fixed"/>
        <w:tblLook w:val="0000"/>
      </w:tblPr>
      <w:tblGrid>
        <w:gridCol w:w="4644"/>
        <w:gridCol w:w="5250"/>
        <w:tblGridChange w:id="0">
          <w:tblGrid>
            <w:gridCol w:w="4644"/>
            <w:gridCol w:w="5250"/>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soddisfare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 criteri e le regole obiettivi e non discriminatori da applicare per limitare il numero di candidati, come di seguito indicato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sono richiesti determinati certificati o altre forme di prove documentali,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 l'operatore economico dispone dei documenti richiesti: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alcuni di tali certificati o altre forme di prove documentali sono disponibili elettronicamente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7"/>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 ] Sì [ ] No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VI: Dichiarazioni finali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 ai sensi dell’articolo 76 del DPR 445/2000.</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Ferme restando le disposizioni degli articoli  40, 43 e 46 del DPR 445/2000, il sottoscritto/I sottoscritti dichiara/dichiarano </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4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oppure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b) a decorrere al più tardi dal 18 aprile 2018 (</w:t>
      </w:r>
      <w:r w:rsidDel="00000000" w:rsidR="00000000" w:rsidRPr="00000000">
        <w:rPr>
          <w:rFonts w:ascii="Arial" w:cs="Arial" w:eastAsia="Arial" w:hAnsi="Arial"/>
          <w:b w:val="0"/>
          <w:i w:val="1"/>
          <w:smallCaps w:val="0"/>
          <w:strike w:val="0"/>
          <w:color w:val="00000a"/>
          <w:sz w:val="15"/>
          <w:szCs w:val="15"/>
          <w:u w:val="none"/>
          <w:shd w:fill="auto" w:val="clear"/>
          <w:vertAlign w:val="superscript"/>
        </w:rPr>
        <w:footnoteReference w:customMarkFollows="0" w:id="41"/>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l'amministrazione aggiudicatrice o l'ente aggiudicatore sono già in possesso della documentazione in questione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[procedura di appalto: (descrizione sommaria, estremi della pubblicazione nella</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Gazzetta ufficiale dell'Unione europea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numero di riferimento)]</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Data, luogo e, se richiesto o necessario, firma/firme: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contextualSpacing w:val="0"/>
        <w:jc w:val="both"/>
        <w:rPr>
          <w:rFonts w:ascii="Arial" w:cs="Arial" w:eastAsia="Arial" w:hAnsi="Arial"/>
          <w:b w:val="0"/>
          <w:i w:val="1"/>
          <w:smallCaps w:val="0"/>
          <w:strike w:val="0"/>
          <w:color w:val="00000a"/>
          <w:sz w:val="15"/>
          <w:szCs w:val="15"/>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sectPr>
      <w:footerReference r:id="rId17" w:type="default"/>
      <w:pgSz w:h="15840" w:w="12240"/>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Courier New"/>
  <w:font w:name="DejaVuSerif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360" w:line="240" w:lineRule="auto"/>
      <w:ind w:left="-850" w:right="-241" w:firstLine="0"/>
      <w:contextualSpacing w:val="0"/>
      <w:jc w:val="righ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I servizi della Commissione metteranno gratuitamente il servizio DGUE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in formato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Per le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amministrazioni aggiudicatrici: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di preinformazione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oppure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Per gli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enti aggiudicatori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periodico indicativo</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both"/>
        <w:rPr>
          <w:rFonts w:ascii="Arial" w:cs="Arial" w:eastAsia="Arial" w:hAnsi="Arial"/>
          <w:b w:val="1"/>
          <w:i w:val="1"/>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w:t>
      </w:r>
      <w:r w:rsidDel="00000000" w:rsidR="00000000" w:rsidRPr="00000000">
        <w:rPr>
          <w:rFonts w:ascii="Arial" w:cs="Arial" w:eastAsia="Arial" w:hAnsi="Arial"/>
          <w:b w:val="1"/>
          <w:i w:val="1"/>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Microimprese: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10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oppure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2 milioni di EUR.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Piccole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50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10 milioni di EUR.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Medie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appartengono alla categoria delle microimprese né a quella delle piccole imprese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che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occupano meno di 250 persone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e 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fatturato annuo non supera i 50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totale di bilancio annuo non supera i 43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w:t>
      </w: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il punto III.1.5 del bando di gara.</w:t>
      </w:r>
      <w:r w:rsidDel="00000000" w:rsidR="00000000" w:rsidRPr="00000000">
        <w:rPr>
          <w:rtl w:val="0"/>
        </w:rPr>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Specificamente</w:t>
      </w:r>
      <w:r w:rsidDel="00000000" w:rsidR="00000000" w:rsidRPr="00000000">
        <w:rPr>
          <w:rFonts w:ascii="Arial" w:cs="Arial" w:eastAsia="Arial" w:hAnsi="Arial"/>
          <w:b w:val="1"/>
          <w:i w:val="0"/>
          <w:smallCaps w:val="0"/>
          <w:strike w:val="0"/>
          <w:color w:val="ff0000"/>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 xml:space="preserve">(GU L 309 del 25.11.2005, pag. 15).</w:t>
      </w:r>
      <w:r w:rsidDel="00000000" w:rsidR="00000000" w:rsidRPr="00000000">
        <w:rPr>
          <w:rtl w:val="0"/>
        </w:rPr>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Q</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574" w:firstLine="0"/>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Ripetere tante volte quanto necessario.</w:t>
      </w:r>
      <w:r w:rsidDel="00000000" w:rsidR="00000000" w:rsidRPr="00000000">
        <w:rPr>
          <w:rtl w:val="0"/>
        </w:rPr>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Conformemente all'elenco dell'allegato XI della direttiva 2014/24/UE;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Le amministrazioni aggiudicatrici possono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richiedere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fino a cinque anni 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ammettere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un'esperienza che risale a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più</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di cinque anni prima.</w:t>
      </w:r>
      <w:r w:rsidDel="00000000" w:rsidR="00000000" w:rsidRPr="00000000">
        <w:rPr>
          <w:rtl w:val="0"/>
        </w:rPr>
      </w:r>
    </w:p>
  </w:footnote>
  <w:footnote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altri termini, occorre indicare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tutti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574" w:hanging="284"/>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Si noti che se l'operatore economico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ha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deciso di subappaltare una quota dell'appalto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3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 condizione che l'operatore economico abbia fornito le informazioni necessarie (</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417" w:hanging="567.0000000000001"/>
      </w:pPr>
      <w:rPr>
        <w:rFonts w:ascii="Noto Sans Symbols" w:cs="Noto Sans Symbols" w:eastAsia="Noto Sans Symbols" w:hAnsi="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88.0" w:type="dxa"/>
        <w:bottom w:w="0.0" w:type="dxa"/>
        <w:right w:w="108.0" w:type="dxa"/>
      </w:tblCellMar>
    </w:tblPr>
  </w:style>
  <w:style w:type="table" w:styleId="Table14">
    <w:basedOn w:val="TableNormal"/>
    <w:tblPr>
      <w:tblStyleRowBandSize w:val="1"/>
      <w:tblStyleColBandSize w:val="1"/>
      <w:tblCellMar>
        <w:top w:w="0.0" w:type="dxa"/>
        <w:left w:w="93.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01_0231.htm#09" TargetMode="External"/><Relationship Id="rId10" Type="http://schemas.openxmlformats.org/officeDocument/2006/relationships/hyperlink" Target="http://www.bosettiegatti.eu/info/norme/statali/2011_0159.htm#092" TargetMode="External"/><Relationship Id="rId13" Type="http://schemas.openxmlformats.org/officeDocument/2006/relationships/hyperlink" Target="http://www.bosettiegatti.eu/info/norme/statali/1999_0068.htm#17" TargetMode="External"/><Relationship Id="rId12" Type="http://schemas.openxmlformats.org/officeDocument/2006/relationships/hyperlink" Target="http://www.bosettiegatti.eu/info/norme/statali/2008_0081.htm#0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8" TargetMode="External"/><Relationship Id="rId15" Type="http://schemas.openxmlformats.org/officeDocument/2006/relationships/hyperlink" Target="http://www.bosettiegatti.eu/info/norme/statali/codicepenale.htm#629" TargetMode="External"/><Relationship Id="rId14" Type="http://schemas.openxmlformats.org/officeDocument/2006/relationships/hyperlink" Target="http://www.bosettiegatti.eu/info/norme/statali/codicepenale.htm#317" TargetMode="External"/><Relationship Id="rId17" Type="http://schemas.openxmlformats.org/officeDocument/2006/relationships/footer" Target="footer1.xml"/><Relationship Id="rId16" Type="http://schemas.openxmlformats.org/officeDocument/2006/relationships/hyperlink" Target="http://www.bosettiegatti.eu/info/norme/statali/codicecivile.htm#235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bosettiegatti.eu/info/norme/statali/2011_0159.htm#067" TargetMode="External"/><Relationship Id="rId8" Type="http://schemas.openxmlformats.org/officeDocument/2006/relationships/hyperlink" Target="http://www.bosettiegatti.eu/info/norme/statali/2011_0159.htm#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